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4C" w:rsidRPr="001B3DD4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B3DD4">
        <w:rPr>
          <w:rFonts w:ascii="Times New Roman" w:eastAsia="Times New Roman" w:hAnsi="Times New Roman" w:cs="Times New Roman"/>
          <w:spacing w:val="-5"/>
          <w:sz w:val="24"/>
          <w:szCs w:val="24"/>
        </w:rPr>
        <w:t>МАТЕРИАЛЫ</w:t>
      </w:r>
    </w:p>
    <w:p w:rsidR="00CF024C" w:rsidRPr="001B3DD4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B3DD4">
        <w:rPr>
          <w:rFonts w:ascii="Times New Roman" w:eastAsia="Times New Roman" w:hAnsi="Times New Roman" w:cs="Times New Roman"/>
          <w:spacing w:val="-5"/>
          <w:sz w:val="24"/>
          <w:szCs w:val="24"/>
        </w:rPr>
        <w:t>для членов информационно-пропагандистских групп</w:t>
      </w:r>
    </w:p>
    <w:p w:rsidR="00CF024C" w:rsidRPr="001B3DD4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B3DD4">
        <w:rPr>
          <w:rFonts w:ascii="Times New Roman" w:eastAsia="Times New Roman" w:hAnsi="Times New Roman" w:cs="Times New Roman"/>
          <w:spacing w:val="-5"/>
          <w:sz w:val="24"/>
          <w:szCs w:val="24"/>
        </w:rPr>
        <w:t>(октябрь 2024 г.)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1B3DD4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1B3DD4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>Материал подготовлен</w:t>
      </w:r>
    </w:p>
    <w:p w:rsidR="004037A2" w:rsidRPr="001B3DD4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</w:pPr>
      <w:r w:rsidRPr="001B3DD4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>Министерством внутренних дел Республики Беларусь</w:t>
      </w:r>
      <w:r w:rsidR="004037A2" w:rsidRPr="001B3DD4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 xml:space="preserve">, </w:t>
      </w:r>
    </w:p>
    <w:p w:rsidR="00095533" w:rsidRPr="001B3DD4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B3DD4">
        <w:rPr>
          <w:rFonts w:ascii="Times New Roman" w:eastAsiaTheme="minorEastAsia" w:hAnsi="Times New Roman" w:cs="Times New Roman"/>
          <w:i/>
          <w:spacing w:val="-5"/>
          <w:sz w:val="24"/>
          <w:szCs w:val="24"/>
          <w:lang w:eastAsia="ru-RU" w:bidi="he-IL"/>
        </w:rPr>
        <w:t>УВД Гродненского облисполкома</w:t>
      </w:r>
    </w:p>
    <w:p w:rsidR="00095533" w:rsidRPr="00095533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3C4B5A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имеющие родных и знакомых, уже вовлеченных в деятельность различных радикальных структур;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2233E">
        <w:rPr>
          <w:rFonts w:ascii="Times New Roman" w:hAnsi="Times New Roman" w:cs="Times New Roman"/>
          <w:sz w:val="30"/>
          <w:szCs w:val="30"/>
        </w:rPr>
        <w:t>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A2233E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A2233E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</w:t>
      </w:r>
      <w:r w:rsidRPr="00A2233E">
        <w:rPr>
          <w:rFonts w:ascii="Times New Roman" w:hAnsi="Times New Roman" w:cs="Times New Roman"/>
          <w:sz w:val="30"/>
          <w:szCs w:val="30"/>
        </w:rPr>
        <w:lastRenderedPageBreak/>
        <w:t>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lastRenderedPageBreak/>
        <w:t>возраст от 14 до 20 лет, чаще мужского пола;</w:t>
      </w:r>
    </w:p>
    <w:p w:rsidR="00442168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проблемы в семье (родители в разводе, злоупотребляют алкоголем, присутствует бытовое насилие);</w:t>
      </w:r>
    </w:p>
    <w:p w:rsidR="00C26C4F" w:rsidRPr="00095533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отклонения в поведении (садизм, мазохизм, т.н.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селфхарм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живодерство, вандализм), а также сексуальные девиации.</w:t>
      </w:r>
    </w:p>
    <w:p w:rsidR="001B3DD4" w:rsidRPr="001B3DD4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D4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  <w:r w:rsidRPr="001B3D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C4F" w:rsidRPr="001B3DD4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3DD4">
        <w:rPr>
          <w:rFonts w:ascii="Times New Roman" w:hAnsi="Times New Roman" w:cs="Times New Roman"/>
          <w:i/>
          <w:sz w:val="24"/>
          <w:szCs w:val="24"/>
        </w:rPr>
        <w:t>Селфхарм</w:t>
      </w:r>
      <w:proofErr w:type="spellEnd"/>
      <w:r w:rsidRPr="001B3DD4">
        <w:rPr>
          <w:rFonts w:ascii="Times New Roman" w:hAnsi="Times New Roman" w:cs="Times New Roman"/>
          <w:i/>
          <w:sz w:val="24"/>
          <w:szCs w:val="24"/>
        </w:rPr>
        <w:t xml:space="preserve"> - самоповреждение, «</w:t>
      </w:r>
      <w:proofErr w:type="spellStart"/>
      <w:r w:rsidRPr="001B3DD4">
        <w:rPr>
          <w:rFonts w:ascii="Times New Roman" w:hAnsi="Times New Roman" w:cs="Times New Roman"/>
          <w:i/>
          <w:sz w:val="24"/>
          <w:szCs w:val="24"/>
        </w:rPr>
        <w:t>самоповреждающее</w:t>
      </w:r>
      <w:proofErr w:type="spellEnd"/>
      <w:r w:rsidRPr="001B3DD4">
        <w:rPr>
          <w:rFonts w:ascii="Times New Roman" w:hAnsi="Times New Roman" w:cs="Times New Roman"/>
          <w:i/>
          <w:sz w:val="24"/>
          <w:szCs w:val="24"/>
        </w:rPr>
        <w:t xml:space="preserve">» поведение, также используется англицизм (от </w:t>
      </w:r>
      <w:proofErr w:type="spellStart"/>
      <w:r w:rsidRPr="001B3DD4">
        <w:rPr>
          <w:rFonts w:ascii="Times New Roman" w:hAnsi="Times New Roman" w:cs="Times New Roman"/>
          <w:i/>
          <w:sz w:val="24"/>
          <w:szCs w:val="24"/>
        </w:rPr>
        <w:t>self-harm</w:t>
      </w:r>
      <w:proofErr w:type="spellEnd"/>
      <w:r w:rsidRPr="001B3DD4">
        <w:rPr>
          <w:rFonts w:ascii="Times New Roman" w:hAnsi="Times New Roman" w:cs="Times New Roman"/>
          <w:i/>
          <w:sz w:val="24"/>
          <w:szCs w:val="24"/>
        </w:rPr>
        <w:t xml:space="preserve">; люди, занимающиеся </w:t>
      </w:r>
      <w:proofErr w:type="spellStart"/>
      <w:r w:rsidRPr="001B3DD4">
        <w:rPr>
          <w:rFonts w:ascii="Times New Roman" w:hAnsi="Times New Roman" w:cs="Times New Roman"/>
          <w:i/>
          <w:sz w:val="24"/>
          <w:szCs w:val="24"/>
        </w:rPr>
        <w:t>селфхармом</w:t>
      </w:r>
      <w:proofErr w:type="spellEnd"/>
      <w:r w:rsidRPr="001B3DD4">
        <w:rPr>
          <w:rFonts w:ascii="Times New Roman" w:hAnsi="Times New Roman" w:cs="Times New Roman"/>
          <w:i/>
          <w:sz w:val="24"/>
          <w:szCs w:val="24"/>
        </w:rPr>
        <w:t xml:space="preserve">, называются </w:t>
      </w:r>
      <w:proofErr w:type="spellStart"/>
      <w:r w:rsidRPr="001B3DD4">
        <w:rPr>
          <w:rFonts w:ascii="Times New Roman" w:hAnsi="Times New Roman" w:cs="Times New Roman"/>
          <w:i/>
          <w:sz w:val="24"/>
          <w:szCs w:val="24"/>
        </w:rPr>
        <w:t>селфхармщики</w:t>
      </w:r>
      <w:proofErr w:type="spellEnd"/>
      <w:r w:rsidRPr="001B3DD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A2BE5" w:rsidRPr="001B3DD4">
        <w:rPr>
          <w:rFonts w:ascii="Times New Roman" w:hAnsi="Times New Roman" w:cs="Times New Roman"/>
          <w:i/>
          <w:sz w:val="24"/>
          <w:szCs w:val="24"/>
        </w:rPr>
        <w:t>-</w:t>
      </w:r>
      <w:r w:rsidRPr="001B3DD4">
        <w:rPr>
          <w:rFonts w:ascii="Times New Roman" w:hAnsi="Times New Roman" w:cs="Times New Roman"/>
          <w:i/>
          <w:sz w:val="24"/>
          <w:szCs w:val="24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.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(богоподобность).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»), пропагандирование «величия белой расы», традиционных ценностей, радикального взгляда на здоровый образ жизни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»).</w:t>
      </w:r>
    </w:p>
    <w:p w:rsidR="00C26C4F" w:rsidRPr="00095533" w:rsidRDefault="001B3DD4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3E22" w:rsidRPr="00095533">
        <w:rPr>
          <w:rFonts w:ascii="Times New Roman" w:hAnsi="Times New Roman" w:cs="Times New Roman"/>
          <w:sz w:val="30"/>
          <w:szCs w:val="30"/>
        </w:rPr>
        <w:t>являю</w:t>
      </w:r>
      <w:r>
        <w:rPr>
          <w:rFonts w:ascii="Times New Roman" w:hAnsi="Times New Roman" w:cs="Times New Roman"/>
          <w:sz w:val="30"/>
          <w:szCs w:val="30"/>
        </w:rPr>
        <w:t>т</w:t>
      </w:r>
      <w:r w:rsidR="00493E22" w:rsidRPr="00095533">
        <w:rPr>
          <w:rFonts w:ascii="Times New Roman" w:hAnsi="Times New Roman" w:cs="Times New Roman"/>
          <w:sz w:val="30"/>
          <w:szCs w:val="30"/>
        </w:rPr>
        <w:t>ся «эталоном» среди сторонников культа насилия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Молодые люди, интересующиеся данной идеологией, выражают свой внутренний мир посредством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субкультурного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искусства. В частности, адепты культа насилия предпочитают музыку в стиле «hardcore», «black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black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обществе.</w:t>
      </w:r>
      <w:r w:rsidR="003D47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95533">
        <w:rPr>
          <w:rFonts w:ascii="Times New Roman" w:hAnsi="Times New Roman" w:cs="Times New Roman"/>
          <w:sz w:val="30"/>
          <w:szCs w:val="30"/>
        </w:rPr>
        <w:t>В творчестве фиксируется упоминание имен и образов известных маньяков («иркутс</w:t>
      </w:r>
      <w:r w:rsidR="001B3DD4">
        <w:rPr>
          <w:rFonts w:ascii="Times New Roman" w:hAnsi="Times New Roman" w:cs="Times New Roman"/>
          <w:sz w:val="30"/>
          <w:szCs w:val="30"/>
        </w:rPr>
        <w:t xml:space="preserve">кие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молоточники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, «керченский стрелок»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В.Росляков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lastRenderedPageBreak/>
        <w:t>Т.Бекмансуров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, неонацисты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Д.Боровиков</w:t>
      </w:r>
      <w:proofErr w:type="spellEnd"/>
      <w:r w:rsidR="001B3DD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М.М</w:t>
      </w:r>
      <w:r w:rsidRPr="00095533">
        <w:rPr>
          <w:rFonts w:ascii="Times New Roman" w:hAnsi="Times New Roman" w:cs="Times New Roman"/>
          <w:sz w:val="30"/>
          <w:szCs w:val="30"/>
        </w:rPr>
        <w:t>арцинкевич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иностранные террористы, нап</w:t>
      </w:r>
      <w:r w:rsidR="001B3DD4">
        <w:rPr>
          <w:rFonts w:ascii="Times New Roman" w:hAnsi="Times New Roman" w:cs="Times New Roman"/>
          <w:sz w:val="30"/>
          <w:szCs w:val="30"/>
        </w:rPr>
        <w:t xml:space="preserve">ример, </w:t>
      </w:r>
      <w:proofErr w:type="spellStart"/>
      <w:r w:rsidR="001B3DD4">
        <w:rPr>
          <w:rFonts w:ascii="Times New Roman" w:hAnsi="Times New Roman" w:cs="Times New Roman"/>
          <w:sz w:val="30"/>
          <w:szCs w:val="30"/>
        </w:rPr>
        <w:t>А.Б</w:t>
      </w:r>
      <w:r w:rsidRPr="00095533">
        <w:rPr>
          <w:rFonts w:ascii="Times New Roman" w:hAnsi="Times New Roman" w:cs="Times New Roman"/>
          <w:sz w:val="30"/>
          <w:szCs w:val="30"/>
        </w:rPr>
        <w:t>рейвик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лидеры третьего рейха, скандинавские божества и пр.).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(треугольников),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«черного </w:t>
      </w:r>
      <w:r w:rsidR="009E2388">
        <w:rPr>
          <w:rFonts w:ascii="Times New Roman" w:hAnsi="Times New Roman" w:cs="Times New Roman"/>
          <w:sz w:val="30"/>
          <w:szCs w:val="30"/>
        </w:rPr>
        <w:t>солнца», в</w:t>
      </w:r>
      <w:r w:rsidRPr="00095533">
        <w:rPr>
          <w:rFonts w:ascii="Times New Roman" w:hAnsi="Times New Roman" w:cs="Times New Roman"/>
          <w:sz w:val="30"/>
          <w:szCs w:val="30"/>
        </w:rPr>
        <w:t>оеннослужащих третьего Рейха, рун, (характерны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»), названий музыкальных групп, </w:t>
      </w:r>
      <w:r w:rsidR="009E2388" w:rsidRPr="00095533">
        <w:rPr>
          <w:rFonts w:ascii="Times New Roman" w:hAnsi="Times New Roman" w:cs="Times New Roman"/>
          <w:sz w:val="30"/>
          <w:szCs w:val="30"/>
        </w:rPr>
        <w:t>например,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подростка посвящен преступникам или террористам (маньякам, серийным убийцам либо вымышленным персонажам, 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. мифическим, символизирующим насилие, смерть или авторитарную власть);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(углубленный интерес к химии, изучение планов административных зданий, поведение </w:t>
      </w:r>
      <w:r w:rsidRPr="00095533">
        <w:rPr>
          <w:rFonts w:ascii="Times New Roman" w:hAnsi="Times New Roman" w:cs="Times New Roman"/>
          <w:sz w:val="30"/>
          <w:szCs w:val="30"/>
        </w:rPr>
        <w:lastRenderedPageBreak/>
        <w:t>объекта, методики изготовления «самострелов», зажигательных смесей, СВУ);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r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субкультурных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 xml:space="preserve">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ходе мониторинга сети Интернет и деструктивных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>-каналов и чатов, выявлено четверо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</w:t>
      </w:r>
      <w:r w:rsidRPr="00153063">
        <w:rPr>
          <w:rFonts w:ascii="Times New Roman" w:hAnsi="Times New Roman" w:cs="Times New Roman"/>
          <w:sz w:val="30"/>
          <w:szCs w:val="30"/>
        </w:rPr>
        <w:lastRenderedPageBreak/>
        <w:t>наиболее активных «фанатов», общая численность которых составляет 9 человек (несовершеннолетних среди них нет).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</w:t>
      </w:r>
      <w:r w:rsidR="009E2388" w:rsidRPr="00153063">
        <w:rPr>
          <w:rFonts w:ascii="Times New Roman" w:hAnsi="Times New Roman" w:cs="Times New Roman"/>
          <w:sz w:val="30"/>
          <w:szCs w:val="30"/>
        </w:rPr>
        <w:t>радикализация</w:t>
      </w:r>
      <w:r w:rsidRPr="00153063">
        <w:rPr>
          <w:rFonts w:ascii="Times New Roman" w:hAnsi="Times New Roman" w:cs="Times New Roman"/>
          <w:sz w:val="30"/>
          <w:szCs w:val="30"/>
        </w:rPr>
        <w:t xml:space="preserve">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преддверии начала каждого футбольного сезона сотрудниками ИДН </w:t>
      </w:r>
      <w:bookmarkStart w:id="0" w:name="_GoBack"/>
      <w:bookmarkEnd w:id="0"/>
      <w:r w:rsidRPr="00153063">
        <w:rPr>
          <w:rFonts w:ascii="Times New Roman" w:hAnsi="Times New Roman" w:cs="Times New Roman"/>
          <w:sz w:val="30"/>
          <w:szCs w:val="30"/>
        </w:rPr>
        <w:t>РОВД области проводится профилактическая работа с учащимися старших классов, а также учащимися учреждений образований, 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09553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«Instagram» в аккаунте «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>».</w:t>
      </w:r>
    </w:p>
    <w:sectPr w:rsidR="00153063" w:rsidRPr="00095533" w:rsidSect="001B3DD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F"/>
    <w:rsid w:val="00067C8A"/>
    <w:rsid w:val="00095533"/>
    <w:rsid w:val="000E6199"/>
    <w:rsid w:val="001067C6"/>
    <w:rsid w:val="00153063"/>
    <w:rsid w:val="001B3DD4"/>
    <w:rsid w:val="001D487A"/>
    <w:rsid w:val="003C4B5A"/>
    <w:rsid w:val="003D47CB"/>
    <w:rsid w:val="004037A2"/>
    <w:rsid w:val="00442168"/>
    <w:rsid w:val="00493E22"/>
    <w:rsid w:val="007A2BE5"/>
    <w:rsid w:val="00882376"/>
    <w:rsid w:val="008F2F7E"/>
    <w:rsid w:val="009E2388"/>
    <w:rsid w:val="009F6B47"/>
    <w:rsid w:val="00A16EE3"/>
    <w:rsid w:val="00A2233E"/>
    <w:rsid w:val="00C26C4F"/>
    <w:rsid w:val="00CF024C"/>
    <w:rsid w:val="00D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C48B"/>
  <w15:docId w15:val="{EDE57BF8-8273-4227-A862-63325A37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Дмитрий Валентинович Невертович</cp:lastModifiedBy>
  <cp:revision>2</cp:revision>
  <dcterms:created xsi:type="dcterms:W3CDTF">2024-10-14T08:08:00Z</dcterms:created>
  <dcterms:modified xsi:type="dcterms:W3CDTF">2024-10-14T08:08:00Z</dcterms:modified>
</cp:coreProperties>
</file>